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D1D9E">
      <w:pPr>
        <w:rPr>
          <w:rFonts w:ascii="Times New Roman" w:hAnsi="Times New Roman" w:eastAsia="黑体" w:cs="Times New Roman"/>
          <w:sz w:val="28"/>
          <w:szCs w:val="28"/>
        </w:rPr>
      </w:pPr>
      <w:r>
        <w:rPr>
          <w:rFonts w:ascii="Times New Roman" w:hAnsi="Times New Roman" w:eastAsia="黑体" w:cs="Times New Roman"/>
          <w:sz w:val="28"/>
          <w:szCs w:val="28"/>
        </w:rPr>
        <w:t>附件</w:t>
      </w:r>
    </w:p>
    <w:p w14:paraId="7895FEAB">
      <w:pPr>
        <w:spacing w:after="156" w:afterLines="50"/>
        <w:jc w:val="center"/>
        <w:rPr>
          <w:rFonts w:ascii="Times New Roman" w:hAnsi="Times New Roman" w:eastAsia="方正小标宋_GBK" w:cs="Times New Roman"/>
          <w:sz w:val="32"/>
          <w:szCs w:val="32"/>
        </w:rPr>
      </w:pPr>
      <w:r>
        <w:rPr>
          <w:rFonts w:ascii="Times New Roman" w:hAnsi="Times New Roman" w:eastAsia="方正小标宋_GBK" w:cs="Times New Roman"/>
          <w:sz w:val="32"/>
          <w:szCs w:val="32"/>
        </w:rPr>
        <w:t>2025年安徽省</w:t>
      </w:r>
      <w:r>
        <w:rPr>
          <w:rFonts w:ascii="Times New Roman" w:hAnsi="Times New Roman" w:eastAsia="方正小标宋_GBK" w:cs="Times New Roman"/>
          <w:color w:val="000000"/>
          <w:sz w:val="32"/>
          <w:szCs w:val="32"/>
        </w:rPr>
        <w:t>高校院所承担横向课题备案项目公示（第</w:t>
      </w:r>
      <w:r>
        <w:rPr>
          <w:rFonts w:hint="eastAsia" w:ascii="Times New Roman" w:hAnsi="Times New Roman" w:eastAsia="方正小标宋_GBK" w:cs="Times New Roman"/>
          <w:color w:val="000000"/>
          <w:sz w:val="32"/>
          <w:szCs w:val="32"/>
          <w:lang w:eastAsia="zh-CN"/>
        </w:rPr>
        <w:t>二</w:t>
      </w:r>
      <w:r>
        <w:rPr>
          <w:rFonts w:ascii="Times New Roman" w:hAnsi="Times New Roman" w:eastAsia="方正小标宋_GBK" w:cs="Times New Roman"/>
          <w:color w:val="000000"/>
          <w:sz w:val="32"/>
          <w:szCs w:val="32"/>
        </w:rPr>
        <w:t>批）</w:t>
      </w:r>
    </w:p>
    <w:tbl>
      <w:tblPr>
        <w:tblStyle w:val="3"/>
        <w:tblW w:w="88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792"/>
        <w:gridCol w:w="2431"/>
        <w:gridCol w:w="2586"/>
        <w:gridCol w:w="1241"/>
      </w:tblGrid>
      <w:tr w14:paraId="39D63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blHeader/>
          <w:jc w:val="center"/>
        </w:trPr>
        <w:tc>
          <w:tcPr>
            <w:tcW w:w="761" w:type="dxa"/>
            <w:vAlign w:val="center"/>
          </w:tcPr>
          <w:p w14:paraId="06666598">
            <w:pPr>
              <w:spacing w:line="320" w:lineRule="exact"/>
              <w:jc w:val="center"/>
              <w:rPr>
                <w:rFonts w:ascii="Times New Roman" w:hAnsi="Times New Roman" w:eastAsia="黑体" w:cs="Times New Roman"/>
                <w:bCs/>
                <w:sz w:val="24"/>
              </w:rPr>
            </w:pPr>
            <w:r>
              <w:rPr>
                <w:rFonts w:ascii="Times New Roman" w:hAnsi="Times New Roman" w:eastAsia="黑体" w:cs="Times New Roman"/>
                <w:bCs/>
                <w:sz w:val="24"/>
              </w:rPr>
              <w:t>序号</w:t>
            </w:r>
          </w:p>
        </w:tc>
        <w:tc>
          <w:tcPr>
            <w:tcW w:w="1792" w:type="dxa"/>
            <w:vAlign w:val="center"/>
          </w:tcPr>
          <w:p w14:paraId="40F6454A">
            <w:pPr>
              <w:spacing w:line="320" w:lineRule="exact"/>
              <w:jc w:val="center"/>
              <w:rPr>
                <w:rFonts w:ascii="Times New Roman" w:hAnsi="Times New Roman" w:eastAsia="黑体" w:cs="Times New Roman"/>
                <w:bCs/>
                <w:sz w:val="24"/>
              </w:rPr>
            </w:pPr>
            <w:r>
              <w:rPr>
                <w:rFonts w:ascii="Times New Roman" w:hAnsi="Times New Roman" w:eastAsia="黑体" w:cs="Times New Roman"/>
                <w:bCs/>
                <w:sz w:val="24"/>
              </w:rPr>
              <w:t>承担单位</w:t>
            </w:r>
          </w:p>
        </w:tc>
        <w:tc>
          <w:tcPr>
            <w:tcW w:w="2431" w:type="dxa"/>
            <w:vAlign w:val="center"/>
          </w:tcPr>
          <w:p w14:paraId="493152C5">
            <w:pPr>
              <w:spacing w:line="320" w:lineRule="exact"/>
              <w:jc w:val="center"/>
              <w:rPr>
                <w:rFonts w:ascii="Times New Roman" w:hAnsi="Times New Roman" w:eastAsia="黑体" w:cs="Times New Roman"/>
                <w:bCs/>
                <w:sz w:val="24"/>
              </w:rPr>
            </w:pPr>
            <w:r>
              <w:rPr>
                <w:rFonts w:ascii="Times New Roman" w:hAnsi="Times New Roman" w:eastAsia="黑体" w:cs="Times New Roman"/>
                <w:bCs/>
                <w:sz w:val="24"/>
              </w:rPr>
              <w:t>委托单位</w:t>
            </w:r>
          </w:p>
        </w:tc>
        <w:tc>
          <w:tcPr>
            <w:tcW w:w="2586" w:type="dxa"/>
            <w:vAlign w:val="center"/>
          </w:tcPr>
          <w:p w14:paraId="2EA17F99">
            <w:pPr>
              <w:spacing w:line="320" w:lineRule="exact"/>
              <w:jc w:val="center"/>
              <w:rPr>
                <w:rFonts w:ascii="Times New Roman" w:hAnsi="Times New Roman" w:eastAsia="黑体" w:cs="Times New Roman"/>
                <w:bCs/>
                <w:sz w:val="24"/>
              </w:rPr>
            </w:pPr>
            <w:r>
              <w:rPr>
                <w:rFonts w:ascii="Times New Roman" w:hAnsi="Times New Roman" w:eastAsia="黑体" w:cs="Times New Roman"/>
                <w:bCs/>
                <w:sz w:val="24"/>
              </w:rPr>
              <w:t>项目名称</w:t>
            </w:r>
          </w:p>
        </w:tc>
        <w:tc>
          <w:tcPr>
            <w:tcW w:w="1241" w:type="dxa"/>
            <w:vAlign w:val="center"/>
          </w:tcPr>
          <w:p w14:paraId="2ACE00EB">
            <w:pPr>
              <w:spacing w:line="320" w:lineRule="exact"/>
              <w:jc w:val="center"/>
              <w:rPr>
                <w:rFonts w:ascii="Times New Roman" w:hAnsi="Times New Roman" w:eastAsia="黑体" w:cs="Times New Roman"/>
                <w:bCs/>
                <w:sz w:val="24"/>
              </w:rPr>
            </w:pPr>
            <w:r>
              <w:rPr>
                <w:rFonts w:ascii="Times New Roman" w:hAnsi="Times New Roman" w:eastAsia="黑体" w:cs="Times New Roman"/>
                <w:bCs/>
                <w:sz w:val="24"/>
              </w:rPr>
              <w:t>合同金额（万元）</w:t>
            </w:r>
          </w:p>
        </w:tc>
      </w:tr>
      <w:tr w14:paraId="0B611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61" w:type="dxa"/>
            <w:vAlign w:val="center"/>
          </w:tcPr>
          <w:p w14:paraId="2A9AC2F3">
            <w:pPr>
              <w:spacing w:line="320" w:lineRule="exact"/>
              <w:jc w:val="center"/>
              <w:rPr>
                <w:rFonts w:hint="eastAsia" w:ascii="Times New Roman" w:hAnsi="Times New Roman" w:eastAsia="黑体" w:cs="Times New Roman"/>
                <w:color w:val="auto"/>
                <w:sz w:val="24"/>
                <w:lang w:eastAsia="zh-CN"/>
              </w:rPr>
            </w:pPr>
            <w:r>
              <w:rPr>
                <w:rFonts w:hint="eastAsia" w:ascii="Times New Roman" w:hAnsi="Times New Roman" w:eastAsia="黑体" w:cs="Times New Roman"/>
                <w:color w:val="auto"/>
                <w:sz w:val="24"/>
                <w:lang w:val="en-US" w:eastAsia="zh-CN"/>
              </w:rPr>
              <w:t>1</w:t>
            </w:r>
          </w:p>
        </w:tc>
        <w:tc>
          <w:tcPr>
            <w:tcW w:w="1792" w:type="dxa"/>
            <w:vAlign w:val="center"/>
          </w:tcPr>
          <w:p w14:paraId="11887391">
            <w:pPr>
              <w:spacing w:line="320" w:lineRule="exact"/>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安徽省特种设备检测院</w:t>
            </w:r>
          </w:p>
        </w:tc>
        <w:tc>
          <w:tcPr>
            <w:tcW w:w="2431" w:type="dxa"/>
            <w:vAlign w:val="center"/>
          </w:tcPr>
          <w:p w14:paraId="29438E63">
            <w:pPr>
              <w:spacing w:line="320" w:lineRule="exact"/>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安徽广钢气体电子材料有限公司</w:t>
            </w:r>
          </w:p>
        </w:tc>
        <w:tc>
          <w:tcPr>
            <w:tcW w:w="2586" w:type="dxa"/>
            <w:vAlign w:val="center"/>
          </w:tcPr>
          <w:p w14:paraId="5F98B2B7">
            <w:pPr>
              <w:spacing w:line="320" w:lineRule="exact"/>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电子大宗供气系统安全阀安全性的评估应用研究</w:t>
            </w:r>
          </w:p>
        </w:tc>
        <w:tc>
          <w:tcPr>
            <w:tcW w:w="1241" w:type="dxa"/>
            <w:vAlign w:val="center"/>
          </w:tcPr>
          <w:p w14:paraId="6F5BBDE7">
            <w:pPr>
              <w:spacing w:line="320" w:lineRule="exact"/>
              <w:jc w:val="center"/>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35</w:t>
            </w:r>
          </w:p>
        </w:tc>
      </w:tr>
      <w:tr w14:paraId="35375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54670544">
            <w:pPr>
              <w:spacing w:line="320" w:lineRule="exact"/>
              <w:jc w:val="center"/>
              <w:rPr>
                <w:rFonts w:hint="eastAsia" w:ascii="Times New Roman" w:hAnsi="Times New Roman" w:eastAsia="黑体" w:cs="Times New Roman"/>
                <w:color w:val="auto"/>
                <w:sz w:val="24"/>
                <w:lang w:eastAsia="zh-CN"/>
              </w:rPr>
            </w:pPr>
            <w:r>
              <w:rPr>
                <w:rFonts w:hint="eastAsia" w:ascii="Times New Roman" w:hAnsi="Times New Roman" w:eastAsia="黑体" w:cs="Times New Roman"/>
                <w:color w:val="auto"/>
                <w:sz w:val="24"/>
                <w:lang w:val="en-US" w:eastAsia="zh-CN"/>
              </w:rPr>
              <w:t>2</w:t>
            </w:r>
          </w:p>
        </w:tc>
        <w:tc>
          <w:tcPr>
            <w:tcW w:w="1792" w:type="dxa"/>
            <w:vAlign w:val="center"/>
          </w:tcPr>
          <w:p w14:paraId="61D6E205">
            <w:pPr>
              <w:spacing w:line="320" w:lineRule="exact"/>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安徽科技学院</w:t>
            </w:r>
          </w:p>
        </w:tc>
        <w:tc>
          <w:tcPr>
            <w:tcW w:w="2431" w:type="dxa"/>
            <w:vAlign w:val="center"/>
          </w:tcPr>
          <w:p w14:paraId="364D2D2E">
            <w:pPr>
              <w:spacing w:line="320" w:lineRule="exact"/>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浙江泰仑电力集团有限责任公司</w:t>
            </w:r>
          </w:p>
        </w:tc>
        <w:tc>
          <w:tcPr>
            <w:tcW w:w="2586" w:type="dxa"/>
            <w:vAlign w:val="center"/>
          </w:tcPr>
          <w:p w14:paraId="1556C24F">
            <w:pPr>
              <w:spacing w:line="320" w:lineRule="exact"/>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变电设备温度感知及辅助决策系统研制</w:t>
            </w:r>
          </w:p>
        </w:tc>
        <w:tc>
          <w:tcPr>
            <w:tcW w:w="1241" w:type="dxa"/>
            <w:vAlign w:val="center"/>
          </w:tcPr>
          <w:p w14:paraId="1503CB97">
            <w:pPr>
              <w:spacing w:line="320" w:lineRule="exact"/>
              <w:jc w:val="center"/>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55.295049</w:t>
            </w:r>
          </w:p>
        </w:tc>
      </w:tr>
      <w:tr w14:paraId="51308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00F69F91">
            <w:pPr>
              <w:spacing w:line="320" w:lineRule="exact"/>
              <w:jc w:val="center"/>
              <w:rPr>
                <w:rFonts w:hint="eastAsia" w:ascii="Times New Roman" w:hAnsi="Times New Roman" w:eastAsia="黑体" w:cs="Times New Roman"/>
                <w:sz w:val="24"/>
                <w:lang w:eastAsia="zh-CN"/>
              </w:rPr>
            </w:pPr>
            <w:r>
              <w:rPr>
                <w:rFonts w:hint="eastAsia" w:ascii="Times New Roman" w:hAnsi="Times New Roman" w:eastAsia="黑体" w:cs="Times New Roman"/>
                <w:sz w:val="24"/>
                <w:lang w:val="en-US" w:eastAsia="zh-CN"/>
              </w:rPr>
              <w:t>3</w:t>
            </w:r>
          </w:p>
        </w:tc>
        <w:tc>
          <w:tcPr>
            <w:tcW w:w="1792" w:type="dxa"/>
            <w:vAlign w:val="center"/>
          </w:tcPr>
          <w:p w14:paraId="3B6467F0">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合肥大学</w:t>
            </w:r>
          </w:p>
        </w:tc>
        <w:tc>
          <w:tcPr>
            <w:tcW w:w="2431" w:type="dxa"/>
            <w:vAlign w:val="center"/>
          </w:tcPr>
          <w:p w14:paraId="17A2837A">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安徽择正公路工程有限责任公司</w:t>
            </w:r>
          </w:p>
        </w:tc>
        <w:tc>
          <w:tcPr>
            <w:tcW w:w="2586" w:type="dxa"/>
            <w:vAlign w:val="center"/>
          </w:tcPr>
          <w:p w14:paraId="43124CCA">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道路交通组织优化及安全控制研究</w:t>
            </w:r>
          </w:p>
        </w:tc>
        <w:tc>
          <w:tcPr>
            <w:tcW w:w="1241" w:type="dxa"/>
            <w:vAlign w:val="center"/>
          </w:tcPr>
          <w:p w14:paraId="58EAF169">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30</w:t>
            </w:r>
          </w:p>
        </w:tc>
      </w:tr>
      <w:tr w14:paraId="2C38F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761" w:type="dxa"/>
            <w:vAlign w:val="center"/>
          </w:tcPr>
          <w:p w14:paraId="58954309">
            <w:pPr>
              <w:spacing w:line="320" w:lineRule="exact"/>
              <w:jc w:val="center"/>
              <w:rPr>
                <w:rFonts w:hint="eastAsia" w:ascii="Times New Roman" w:hAnsi="Times New Roman" w:eastAsia="黑体" w:cs="Times New Roman"/>
                <w:sz w:val="24"/>
                <w:lang w:eastAsia="zh-CN"/>
              </w:rPr>
            </w:pPr>
            <w:r>
              <w:rPr>
                <w:rFonts w:hint="eastAsia" w:ascii="Times New Roman" w:hAnsi="Times New Roman" w:eastAsia="黑体" w:cs="Times New Roman"/>
                <w:sz w:val="24"/>
                <w:lang w:val="en-US" w:eastAsia="zh-CN"/>
              </w:rPr>
              <w:t>4</w:t>
            </w:r>
          </w:p>
        </w:tc>
        <w:tc>
          <w:tcPr>
            <w:tcW w:w="1792" w:type="dxa"/>
            <w:vAlign w:val="center"/>
          </w:tcPr>
          <w:p w14:paraId="25BEC16A">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安徽医科大学</w:t>
            </w:r>
          </w:p>
        </w:tc>
        <w:tc>
          <w:tcPr>
            <w:tcW w:w="2431" w:type="dxa"/>
            <w:vAlign w:val="center"/>
          </w:tcPr>
          <w:p w14:paraId="54744886">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杭州浙达精益机电技术股份有限公司</w:t>
            </w:r>
          </w:p>
        </w:tc>
        <w:tc>
          <w:tcPr>
            <w:tcW w:w="2586" w:type="dxa"/>
            <w:vAlign w:val="center"/>
          </w:tcPr>
          <w:p w14:paraId="0E962343">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面向骨质检测的多通道超声导波激励与接收模块开发</w:t>
            </w:r>
          </w:p>
        </w:tc>
        <w:tc>
          <w:tcPr>
            <w:tcW w:w="1241" w:type="dxa"/>
            <w:vAlign w:val="center"/>
          </w:tcPr>
          <w:p w14:paraId="7B2E9CFC">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31</w:t>
            </w:r>
          </w:p>
        </w:tc>
      </w:tr>
      <w:tr w14:paraId="362D1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jc w:val="center"/>
        </w:trPr>
        <w:tc>
          <w:tcPr>
            <w:tcW w:w="761" w:type="dxa"/>
            <w:vAlign w:val="center"/>
          </w:tcPr>
          <w:p w14:paraId="50719D3D">
            <w:pPr>
              <w:spacing w:line="320" w:lineRule="exact"/>
              <w:jc w:val="center"/>
              <w:rPr>
                <w:rFonts w:hint="eastAsia" w:ascii="Times New Roman" w:hAnsi="Times New Roman" w:eastAsia="黑体" w:cs="Times New Roman"/>
                <w:color w:val="auto"/>
                <w:sz w:val="24"/>
                <w:lang w:eastAsia="zh-CN"/>
              </w:rPr>
            </w:pPr>
            <w:r>
              <w:rPr>
                <w:rFonts w:hint="eastAsia" w:ascii="Times New Roman" w:hAnsi="Times New Roman" w:eastAsia="黑体" w:cs="Times New Roman"/>
                <w:color w:val="auto"/>
                <w:sz w:val="24"/>
                <w:lang w:val="en-US" w:eastAsia="zh-CN"/>
              </w:rPr>
              <w:t>5</w:t>
            </w:r>
          </w:p>
        </w:tc>
        <w:tc>
          <w:tcPr>
            <w:tcW w:w="1792" w:type="dxa"/>
            <w:vAlign w:val="center"/>
          </w:tcPr>
          <w:p w14:paraId="65D54084">
            <w:pPr>
              <w:spacing w:line="320" w:lineRule="exact"/>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安徽省煤炭科学研究院</w:t>
            </w:r>
          </w:p>
        </w:tc>
        <w:tc>
          <w:tcPr>
            <w:tcW w:w="2431" w:type="dxa"/>
            <w:vAlign w:val="center"/>
          </w:tcPr>
          <w:p w14:paraId="66F1FDA6">
            <w:pPr>
              <w:spacing w:line="320" w:lineRule="exact"/>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淮北矿业股份有限公司涡北选煤厂</w:t>
            </w:r>
          </w:p>
        </w:tc>
        <w:tc>
          <w:tcPr>
            <w:tcW w:w="2586" w:type="dxa"/>
            <w:vAlign w:val="center"/>
          </w:tcPr>
          <w:p w14:paraId="099E36A5">
            <w:pPr>
              <w:spacing w:line="320" w:lineRule="exact"/>
              <w:jc w:val="center"/>
              <w:rPr>
                <w:rFonts w:ascii="Times New Roman" w:hAnsi="Times New Roman" w:eastAsia="宋体" w:cs="Times New Roman"/>
                <w:color w:val="auto"/>
                <w:sz w:val="24"/>
              </w:rPr>
            </w:pPr>
            <w:r>
              <w:rPr>
                <w:rFonts w:hint="eastAsia" w:ascii="Times New Roman" w:hAnsi="Times New Roman" w:eastAsia="宋体" w:cs="Times New Roman"/>
                <w:color w:val="auto"/>
                <w:sz w:val="24"/>
              </w:rPr>
              <w:t>碳计量支撑淮北矿业股份有限公司选煤企业</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碳达峰碳中和</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目标实现对策研究</w:t>
            </w:r>
          </w:p>
        </w:tc>
        <w:tc>
          <w:tcPr>
            <w:tcW w:w="1241" w:type="dxa"/>
            <w:vAlign w:val="center"/>
          </w:tcPr>
          <w:p w14:paraId="7969EC13">
            <w:pPr>
              <w:spacing w:line="320" w:lineRule="exact"/>
              <w:jc w:val="center"/>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30</w:t>
            </w:r>
          </w:p>
        </w:tc>
      </w:tr>
      <w:tr w14:paraId="1E117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2D7CBF70">
            <w:pPr>
              <w:spacing w:line="320" w:lineRule="exact"/>
              <w:jc w:val="center"/>
              <w:rPr>
                <w:rFonts w:hint="eastAsia" w:ascii="Times New Roman" w:hAnsi="Times New Roman" w:eastAsia="黑体" w:cs="Times New Roman"/>
                <w:sz w:val="24"/>
                <w:lang w:eastAsia="zh-CN"/>
              </w:rPr>
            </w:pPr>
            <w:r>
              <w:rPr>
                <w:rFonts w:hint="eastAsia" w:ascii="Times New Roman" w:hAnsi="Times New Roman" w:eastAsia="黑体" w:cs="Times New Roman"/>
                <w:sz w:val="24"/>
                <w:lang w:val="en-US" w:eastAsia="zh-CN"/>
              </w:rPr>
              <w:t>6</w:t>
            </w:r>
          </w:p>
        </w:tc>
        <w:tc>
          <w:tcPr>
            <w:tcW w:w="1792" w:type="dxa"/>
            <w:vAlign w:val="center"/>
          </w:tcPr>
          <w:p w14:paraId="0B5CB5EB">
            <w:pPr>
              <w:spacing w:line="320" w:lineRule="exact"/>
              <w:jc w:val="center"/>
              <w:rPr>
                <w:rFonts w:ascii="Times New Roman" w:hAnsi="Times New Roman" w:eastAsia="宋体" w:cs="Times New Roman"/>
                <w:sz w:val="24"/>
              </w:rPr>
            </w:pPr>
            <w:r>
              <w:rPr>
                <w:rFonts w:hint="eastAsia" w:ascii="Times New Roman" w:hAnsi="Times New Roman" w:eastAsia="宋体" w:cs="Times New Roman"/>
                <w:color w:val="auto"/>
                <w:sz w:val="24"/>
                <w:lang w:eastAsia="zh-CN"/>
              </w:rPr>
              <w:t>安徽科技学院</w:t>
            </w:r>
          </w:p>
        </w:tc>
        <w:tc>
          <w:tcPr>
            <w:tcW w:w="2431" w:type="dxa"/>
            <w:vAlign w:val="center"/>
          </w:tcPr>
          <w:p w14:paraId="1CEEED01">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北京创时空科技发展有限公司</w:t>
            </w:r>
          </w:p>
        </w:tc>
        <w:tc>
          <w:tcPr>
            <w:tcW w:w="2586" w:type="dxa"/>
            <w:vAlign w:val="center"/>
          </w:tcPr>
          <w:p w14:paraId="528AAD11">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天然气高压管线工程信息管理系统设计研发</w:t>
            </w:r>
          </w:p>
        </w:tc>
        <w:tc>
          <w:tcPr>
            <w:tcW w:w="1241" w:type="dxa"/>
            <w:vAlign w:val="center"/>
          </w:tcPr>
          <w:p w14:paraId="19B8415E">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40</w:t>
            </w:r>
          </w:p>
        </w:tc>
      </w:tr>
      <w:tr w14:paraId="0694C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6F51C33A">
            <w:pPr>
              <w:spacing w:line="320" w:lineRule="exact"/>
              <w:jc w:val="center"/>
              <w:rPr>
                <w:rFonts w:hint="eastAsia" w:ascii="Times New Roman" w:hAnsi="Times New Roman" w:eastAsia="黑体" w:cs="Times New Roman"/>
                <w:color w:val="auto"/>
                <w:sz w:val="24"/>
                <w:lang w:eastAsia="zh-CN"/>
              </w:rPr>
            </w:pPr>
            <w:r>
              <w:rPr>
                <w:rFonts w:hint="eastAsia" w:ascii="Times New Roman" w:hAnsi="Times New Roman" w:eastAsia="黑体" w:cs="Times New Roman"/>
                <w:color w:val="auto"/>
                <w:sz w:val="24"/>
                <w:lang w:val="en-US" w:eastAsia="zh-CN"/>
              </w:rPr>
              <w:t>7</w:t>
            </w:r>
          </w:p>
        </w:tc>
        <w:tc>
          <w:tcPr>
            <w:tcW w:w="1792" w:type="dxa"/>
            <w:vAlign w:val="center"/>
          </w:tcPr>
          <w:p w14:paraId="261934D7">
            <w:pPr>
              <w:spacing w:line="320" w:lineRule="exact"/>
              <w:jc w:val="center"/>
              <w:rPr>
                <w:rFonts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安徽省煤炭科学研究院</w:t>
            </w:r>
          </w:p>
        </w:tc>
        <w:tc>
          <w:tcPr>
            <w:tcW w:w="2431" w:type="dxa"/>
            <w:vAlign w:val="center"/>
          </w:tcPr>
          <w:p w14:paraId="5BD2DE0B">
            <w:pPr>
              <w:spacing w:line="320" w:lineRule="exact"/>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安徽马钢罗河矿业有限责任公司</w:t>
            </w:r>
          </w:p>
        </w:tc>
        <w:tc>
          <w:tcPr>
            <w:tcW w:w="2586" w:type="dxa"/>
            <w:vAlign w:val="center"/>
          </w:tcPr>
          <w:p w14:paraId="784BBFB1">
            <w:pPr>
              <w:spacing w:line="320" w:lineRule="exact"/>
              <w:jc w:val="center"/>
              <w:rPr>
                <w:rFonts w:ascii="Times New Roman" w:hAnsi="Times New Roman" w:eastAsia="宋体" w:cs="Times New Roman"/>
                <w:color w:val="auto"/>
                <w:sz w:val="24"/>
              </w:rPr>
            </w:pPr>
            <w:r>
              <w:rPr>
                <w:rFonts w:hint="eastAsia" w:ascii="Times New Roman" w:hAnsi="Times New Roman" w:eastAsia="宋体" w:cs="Times New Roman"/>
                <w:color w:val="auto"/>
                <w:sz w:val="24"/>
              </w:rPr>
              <w:t>罗河矿隐蔽致灾普查及治理研究</w:t>
            </w:r>
          </w:p>
        </w:tc>
        <w:tc>
          <w:tcPr>
            <w:tcW w:w="1241" w:type="dxa"/>
            <w:vAlign w:val="center"/>
          </w:tcPr>
          <w:p w14:paraId="025CA7F7">
            <w:pPr>
              <w:spacing w:line="320" w:lineRule="exact"/>
              <w:jc w:val="center"/>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43</w:t>
            </w:r>
          </w:p>
        </w:tc>
      </w:tr>
      <w:tr w14:paraId="4A359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07E30565">
            <w:pPr>
              <w:spacing w:line="320" w:lineRule="exact"/>
              <w:jc w:val="center"/>
              <w:rPr>
                <w:rFonts w:hint="eastAsia" w:ascii="Times New Roman" w:hAnsi="Times New Roman" w:eastAsia="黑体" w:cs="Times New Roman"/>
                <w:sz w:val="24"/>
                <w:lang w:eastAsia="zh-CN"/>
              </w:rPr>
            </w:pPr>
            <w:r>
              <w:rPr>
                <w:rFonts w:hint="eastAsia" w:ascii="Times New Roman" w:hAnsi="Times New Roman" w:eastAsia="黑体" w:cs="Times New Roman"/>
                <w:sz w:val="24"/>
                <w:lang w:val="en-US" w:eastAsia="zh-CN"/>
              </w:rPr>
              <w:t>8</w:t>
            </w:r>
          </w:p>
        </w:tc>
        <w:tc>
          <w:tcPr>
            <w:tcW w:w="1792" w:type="dxa"/>
            <w:vAlign w:val="center"/>
          </w:tcPr>
          <w:p w14:paraId="0821D633">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安徽省疾病预防控制中心</w:t>
            </w:r>
          </w:p>
        </w:tc>
        <w:tc>
          <w:tcPr>
            <w:tcW w:w="2431" w:type="dxa"/>
            <w:vAlign w:val="center"/>
          </w:tcPr>
          <w:p w14:paraId="374A0C79">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康希诺生物股份公司</w:t>
            </w:r>
          </w:p>
        </w:tc>
        <w:tc>
          <w:tcPr>
            <w:tcW w:w="2586" w:type="dxa"/>
            <w:vAlign w:val="center"/>
          </w:tcPr>
          <w:p w14:paraId="0790DA78">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吸入用重组新型冠状病毒疫苗(5型腺病毒载体)序贯加强免疫新型冠状病毒灭活疫苗临床研究</w:t>
            </w:r>
          </w:p>
        </w:tc>
        <w:tc>
          <w:tcPr>
            <w:tcW w:w="1241" w:type="dxa"/>
            <w:vAlign w:val="center"/>
          </w:tcPr>
          <w:p w14:paraId="1639BD22">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353.1</w:t>
            </w:r>
          </w:p>
        </w:tc>
      </w:tr>
      <w:tr w14:paraId="15C8F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26B4FE44">
            <w:pPr>
              <w:spacing w:line="320" w:lineRule="exact"/>
              <w:jc w:val="center"/>
              <w:rPr>
                <w:rFonts w:hint="eastAsia" w:ascii="Times New Roman" w:hAnsi="Times New Roman" w:eastAsia="黑体" w:cs="Times New Roman"/>
                <w:sz w:val="24"/>
                <w:lang w:eastAsia="zh-CN"/>
              </w:rPr>
            </w:pPr>
            <w:r>
              <w:rPr>
                <w:rFonts w:hint="eastAsia" w:ascii="Times New Roman" w:hAnsi="Times New Roman" w:eastAsia="黑体" w:cs="Times New Roman"/>
                <w:sz w:val="24"/>
                <w:lang w:val="en-US" w:eastAsia="zh-CN"/>
              </w:rPr>
              <w:t>9</w:t>
            </w:r>
          </w:p>
        </w:tc>
        <w:tc>
          <w:tcPr>
            <w:tcW w:w="1792" w:type="dxa"/>
            <w:vAlign w:val="center"/>
          </w:tcPr>
          <w:p w14:paraId="65C61212">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eastAsia="zh-CN"/>
              </w:rPr>
              <w:t>安徽医科大学第一附属医院</w:t>
            </w:r>
          </w:p>
        </w:tc>
        <w:tc>
          <w:tcPr>
            <w:tcW w:w="2431" w:type="dxa"/>
            <w:vAlign w:val="center"/>
          </w:tcPr>
          <w:p w14:paraId="46B4A5F4">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中国药师协会</w:t>
            </w:r>
          </w:p>
        </w:tc>
        <w:tc>
          <w:tcPr>
            <w:tcW w:w="2586" w:type="dxa"/>
            <w:vAlign w:val="center"/>
          </w:tcPr>
          <w:p w14:paraId="4837D27D">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全国细菌耐药监测网监测结果开放探索和查询平台建设</w:t>
            </w:r>
          </w:p>
        </w:tc>
        <w:tc>
          <w:tcPr>
            <w:tcW w:w="1241" w:type="dxa"/>
            <w:vAlign w:val="center"/>
          </w:tcPr>
          <w:p w14:paraId="7555AED9">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30</w:t>
            </w:r>
          </w:p>
        </w:tc>
      </w:tr>
      <w:tr w14:paraId="103D6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1AE89A5A">
            <w:pPr>
              <w:spacing w:line="320" w:lineRule="exact"/>
              <w:jc w:val="center"/>
              <w:rPr>
                <w:rFonts w:hint="eastAsia" w:ascii="Times New Roman" w:hAnsi="Times New Roman" w:eastAsia="黑体" w:cs="Times New Roman"/>
                <w:sz w:val="24"/>
                <w:lang w:eastAsia="zh-CN"/>
              </w:rPr>
            </w:pPr>
            <w:r>
              <w:rPr>
                <w:rFonts w:ascii="Times New Roman" w:hAnsi="Times New Roman" w:eastAsia="黑体" w:cs="Times New Roman"/>
                <w:sz w:val="24"/>
              </w:rPr>
              <w:t>1</w:t>
            </w:r>
            <w:r>
              <w:rPr>
                <w:rFonts w:hint="eastAsia" w:ascii="Times New Roman" w:hAnsi="Times New Roman" w:eastAsia="黑体" w:cs="Times New Roman"/>
                <w:sz w:val="24"/>
                <w:lang w:val="en-US" w:eastAsia="zh-CN"/>
              </w:rPr>
              <w:t>0</w:t>
            </w:r>
          </w:p>
        </w:tc>
        <w:tc>
          <w:tcPr>
            <w:tcW w:w="1792" w:type="dxa"/>
            <w:vAlign w:val="center"/>
          </w:tcPr>
          <w:p w14:paraId="75F3E5BC">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黄山学院</w:t>
            </w:r>
          </w:p>
        </w:tc>
        <w:tc>
          <w:tcPr>
            <w:tcW w:w="2431" w:type="dxa"/>
            <w:vAlign w:val="center"/>
          </w:tcPr>
          <w:p w14:paraId="5EA8BB15">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黄山市向荣新材料有限公司</w:t>
            </w:r>
          </w:p>
        </w:tc>
        <w:tc>
          <w:tcPr>
            <w:tcW w:w="2586" w:type="dxa"/>
            <w:vAlign w:val="center"/>
          </w:tcPr>
          <w:p w14:paraId="4252B7F6">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粉末涂料用高性能聚酯树脂的研发及产业化</w:t>
            </w:r>
          </w:p>
        </w:tc>
        <w:tc>
          <w:tcPr>
            <w:tcW w:w="1241" w:type="dxa"/>
            <w:vAlign w:val="center"/>
          </w:tcPr>
          <w:p w14:paraId="156327DE">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50</w:t>
            </w:r>
          </w:p>
        </w:tc>
      </w:tr>
      <w:tr w14:paraId="5981E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2E616C20">
            <w:pPr>
              <w:spacing w:line="320" w:lineRule="exact"/>
              <w:jc w:val="center"/>
              <w:rPr>
                <w:rFonts w:hint="eastAsia" w:ascii="Times New Roman" w:hAnsi="Times New Roman" w:eastAsia="黑体" w:cs="Times New Roman"/>
                <w:sz w:val="24"/>
                <w:lang w:eastAsia="zh-CN"/>
              </w:rPr>
            </w:pPr>
            <w:r>
              <w:rPr>
                <w:rFonts w:ascii="Times New Roman" w:hAnsi="Times New Roman" w:eastAsia="黑体" w:cs="Times New Roman"/>
                <w:sz w:val="24"/>
              </w:rPr>
              <w:t>1</w:t>
            </w:r>
            <w:r>
              <w:rPr>
                <w:rFonts w:hint="eastAsia" w:ascii="Times New Roman" w:hAnsi="Times New Roman" w:eastAsia="黑体" w:cs="Times New Roman"/>
                <w:sz w:val="24"/>
                <w:lang w:val="en-US" w:eastAsia="zh-CN"/>
              </w:rPr>
              <w:t>1</w:t>
            </w:r>
          </w:p>
        </w:tc>
        <w:tc>
          <w:tcPr>
            <w:tcW w:w="1792" w:type="dxa"/>
            <w:vAlign w:val="center"/>
          </w:tcPr>
          <w:p w14:paraId="3540257E">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芜湖职业技术学院</w:t>
            </w:r>
          </w:p>
        </w:tc>
        <w:tc>
          <w:tcPr>
            <w:tcW w:w="2431" w:type="dxa"/>
            <w:vAlign w:val="center"/>
          </w:tcPr>
          <w:p w14:paraId="4B9D267C">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芜湖传云绿色果品种植专业合作社</w:t>
            </w:r>
          </w:p>
        </w:tc>
        <w:tc>
          <w:tcPr>
            <w:tcW w:w="2586" w:type="dxa"/>
            <w:vAlign w:val="center"/>
          </w:tcPr>
          <w:p w14:paraId="6220077C">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葡萄新品种培育及种植技术服务</w:t>
            </w:r>
          </w:p>
        </w:tc>
        <w:tc>
          <w:tcPr>
            <w:tcW w:w="1241" w:type="dxa"/>
            <w:vAlign w:val="center"/>
          </w:tcPr>
          <w:p w14:paraId="09E2A49D">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102</w:t>
            </w:r>
          </w:p>
        </w:tc>
      </w:tr>
      <w:tr w14:paraId="4DECF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761" w:type="dxa"/>
            <w:vAlign w:val="center"/>
          </w:tcPr>
          <w:p w14:paraId="65C05782">
            <w:pPr>
              <w:spacing w:line="320" w:lineRule="exact"/>
              <w:jc w:val="center"/>
              <w:rPr>
                <w:rFonts w:hint="eastAsia" w:ascii="Times New Roman" w:hAnsi="Times New Roman" w:eastAsia="黑体" w:cs="Times New Roman"/>
                <w:sz w:val="24"/>
                <w:lang w:eastAsia="zh-CN"/>
              </w:rPr>
            </w:pPr>
            <w:r>
              <w:rPr>
                <w:rFonts w:ascii="Times New Roman" w:hAnsi="Times New Roman" w:eastAsia="黑体" w:cs="Times New Roman"/>
                <w:sz w:val="24"/>
              </w:rPr>
              <w:t>1</w:t>
            </w:r>
            <w:r>
              <w:rPr>
                <w:rFonts w:hint="eastAsia" w:ascii="Times New Roman" w:hAnsi="Times New Roman" w:eastAsia="黑体" w:cs="Times New Roman"/>
                <w:sz w:val="24"/>
                <w:lang w:val="en-US" w:eastAsia="zh-CN"/>
              </w:rPr>
              <w:t>2</w:t>
            </w:r>
          </w:p>
        </w:tc>
        <w:tc>
          <w:tcPr>
            <w:tcW w:w="1792" w:type="dxa"/>
            <w:vAlign w:val="center"/>
          </w:tcPr>
          <w:p w14:paraId="535ED910">
            <w:pPr>
              <w:spacing w:line="320" w:lineRule="exact"/>
              <w:jc w:val="center"/>
              <w:rPr>
                <w:rFonts w:ascii="Times New Roman" w:hAnsi="Times New Roman" w:eastAsia="宋体" w:cs="Times New Roman"/>
                <w:sz w:val="24"/>
              </w:rPr>
            </w:pPr>
            <w:r>
              <w:rPr>
                <w:rFonts w:hint="eastAsia" w:ascii="Times New Roman" w:hAnsi="Times New Roman" w:eastAsia="宋体" w:cs="Times New Roman"/>
                <w:color w:val="auto"/>
                <w:sz w:val="24"/>
                <w:lang w:eastAsia="zh-CN"/>
              </w:rPr>
              <w:t>安徽科技学院</w:t>
            </w:r>
          </w:p>
        </w:tc>
        <w:tc>
          <w:tcPr>
            <w:tcW w:w="2431" w:type="dxa"/>
            <w:vAlign w:val="center"/>
          </w:tcPr>
          <w:p w14:paraId="2BDE691F">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芜湖繁荣宠物经济产业园管理有限公司</w:t>
            </w:r>
          </w:p>
        </w:tc>
        <w:tc>
          <w:tcPr>
            <w:tcW w:w="2586" w:type="dxa"/>
            <w:vAlign w:val="center"/>
          </w:tcPr>
          <w:p w14:paraId="0CA9CD2B">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犬猫功能性营养品研发</w:t>
            </w:r>
          </w:p>
        </w:tc>
        <w:tc>
          <w:tcPr>
            <w:tcW w:w="1241" w:type="dxa"/>
            <w:vAlign w:val="center"/>
          </w:tcPr>
          <w:p w14:paraId="57F0A681">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40</w:t>
            </w:r>
          </w:p>
        </w:tc>
      </w:tr>
      <w:tr w14:paraId="05190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29CC133A">
            <w:pPr>
              <w:spacing w:line="320" w:lineRule="exact"/>
              <w:jc w:val="center"/>
              <w:rPr>
                <w:rFonts w:hint="eastAsia" w:ascii="Times New Roman" w:hAnsi="Times New Roman" w:eastAsia="黑体" w:cs="Times New Roman"/>
                <w:sz w:val="24"/>
                <w:lang w:eastAsia="zh-CN"/>
              </w:rPr>
            </w:pPr>
            <w:r>
              <w:rPr>
                <w:rFonts w:ascii="Times New Roman" w:hAnsi="Times New Roman" w:eastAsia="黑体" w:cs="Times New Roman"/>
                <w:sz w:val="24"/>
              </w:rPr>
              <w:t>1</w:t>
            </w:r>
            <w:r>
              <w:rPr>
                <w:rFonts w:hint="eastAsia" w:ascii="Times New Roman" w:hAnsi="Times New Roman" w:eastAsia="黑体" w:cs="Times New Roman"/>
                <w:sz w:val="24"/>
                <w:lang w:val="en-US" w:eastAsia="zh-CN"/>
              </w:rPr>
              <w:t>3</w:t>
            </w:r>
          </w:p>
        </w:tc>
        <w:tc>
          <w:tcPr>
            <w:tcW w:w="1792" w:type="dxa"/>
            <w:vAlign w:val="center"/>
          </w:tcPr>
          <w:p w14:paraId="5C053160">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安徽大学</w:t>
            </w:r>
          </w:p>
        </w:tc>
        <w:tc>
          <w:tcPr>
            <w:tcW w:w="2431" w:type="dxa"/>
            <w:vAlign w:val="center"/>
          </w:tcPr>
          <w:p w14:paraId="5AE2EBFA">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PTC International Limited</w:t>
            </w:r>
          </w:p>
        </w:tc>
        <w:tc>
          <w:tcPr>
            <w:tcW w:w="2586" w:type="dxa"/>
            <w:vAlign w:val="center"/>
          </w:tcPr>
          <w:p w14:paraId="43AAD256">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香港环保署臭氧前体具有高反应性的挥发性化学产品及其与典型温室气体的关系</w:t>
            </w:r>
          </w:p>
        </w:tc>
        <w:tc>
          <w:tcPr>
            <w:tcW w:w="1241" w:type="dxa"/>
            <w:vAlign w:val="center"/>
          </w:tcPr>
          <w:p w14:paraId="4796B186">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50</w:t>
            </w:r>
          </w:p>
        </w:tc>
      </w:tr>
      <w:tr w14:paraId="2110D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2F4175E9">
            <w:pPr>
              <w:spacing w:line="320" w:lineRule="exact"/>
              <w:jc w:val="center"/>
              <w:rPr>
                <w:rFonts w:hint="eastAsia" w:ascii="Times New Roman" w:hAnsi="Times New Roman" w:eastAsia="黑体" w:cs="Times New Roman"/>
                <w:sz w:val="24"/>
                <w:lang w:eastAsia="zh-CN"/>
              </w:rPr>
            </w:pPr>
            <w:r>
              <w:rPr>
                <w:rFonts w:ascii="Times New Roman" w:hAnsi="Times New Roman" w:eastAsia="黑体" w:cs="Times New Roman"/>
                <w:sz w:val="24"/>
              </w:rPr>
              <w:t>1</w:t>
            </w:r>
            <w:r>
              <w:rPr>
                <w:rFonts w:hint="eastAsia" w:ascii="Times New Roman" w:hAnsi="Times New Roman" w:eastAsia="黑体" w:cs="Times New Roman"/>
                <w:sz w:val="24"/>
                <w:lang w:val="en-US" w:eastAsia="zh-CN"/>
              </w:rPr>
              <w:t>4</w:t>
            </w:r>
          </w:p>
        </w:tc>
        <w:tc>
          <w:tcPr>
            <w:tcW w:w="1792" w:type="dxa"/>
            <w:vAlign w:val="center"/>
          </w:tcPr>
          <w:p w14:paraId="451E8DBA">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安徽医科大学</w:t>
            </w:r>
          </w:p>
        </w:tc>
        <w:tc>
          <w:tcPr>
            <w:tcW w:w="2431" w:type="dxa"/>
            <w:vAlign w:val="center"/>
          </w:tcPr>
          <w:p w14:paraId="1A4AE321">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合肥绿薄荷医药科技有限公司</w:t>
            </w:r>
          </w:p>
        </w:tc>
        <w:tc>
          <w:tcPr>
            <w:tcW w:w="2586" w:type="dxa"/>
            <w:vAlign w:val="center"/>
          </w:tcPr>
          <w:p w14:paraId="689CB650">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3D打印高分子材料水凝胶复合体支架在软骨损伤中的应用</w:t>
            </w:r>
          </w:p>
        </w:tc>
        <w:tc>
          <w:tcPr>
            <w:tcW w:w="1241" w:type="dxa"/>
            <w:vAlign w:val="center"/>
          </w:tcPr>
          <w:p w14:paraId="327BA230">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30</w:t>
            </w:r>
          </w:p>
        </w:tc>
      </w:tr>
      <w:tr w14:paraId="2D132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jc w:val="center"/>
        </w:trPr>
        <w:tc>
          <w:tcPr>
            <w:tcW w:w="761" w:type="dxa"/>
            <w:vAlign w:val="center"/>
          </w:tcPr>
          <w:p w14:paraId="22A576F9">
            <w:pPr>
              <w:spacing w:line="320" w:lineRule="exact"/>
              <w:jc w:val="center"/>
              <w:rPr>
                <w:rFonts w:hint="default" w:ascii="Times New Roman" w:hAnsi="Times New Roman" w:eastAsia="黑体" w:cs="Times New Roman"/>
                <w:sz w:val="24"/>
                <w:lang w:val="en-US" w:eastAsia="zh-CN"/>
              </w:rPr>
            </w:pPr>
            <w:r>
              <w:rPr>
                <w:rFonts w:hint="eastAsia" w:ascii="Times New Roman" w:hAnsi="Times New Roman" w:eastAsia="黑体" w:cs="Times New Roman"/>
                <w:sz w:val="24"/>
                <w:lang w:val="en-US" w:eastAsia="zh-CN"/>
              </w:rPr>
              <w:t>15</w:t>
            </w:r>
          </w:p>
        </w:tc>
        <w:tc>
          <w:tcPr>
            <w:tcW w:w="1792" w:type="dxa"/>
            <w:vAlign w:val="center"/>
          </w:tcPr>
          <w:p w14:paraId="1A4C7826">
            <w:pPr>
              <w:spacing w:line="320" w:lineRule="exact"/>
              <w:jc w:val="center"/>
              <w:rPr>
                <w:rFonts w:ascii="Times New Roman" w:hAnsi="Times New Roman" w:eastAsia="宋体" w:cs="Times New Roman"/>
                <w:sz w:val="24"/>
              </w:rPr>
            </w:pPr>
            <w:r>
              <w:rPr>
                <w:rFonts w:hint="default" w:ascii="Times New Roman" w:hAnsi="Times New Roman" w:eastAsia="宋体" w:cs="Times New Roman"/>
                <w:sz w:val="24"/>
              </w:rPr>
              <w:t>安徽省（水利部淮河水利委员会）水利科学研究院（安徽省水利工程质量检测中心站）</w:t>
            </w:r>
          </w:p>
        </w:tc>
        <w:tc>
          <w:tcPr>
            <w:tcW w:w="2431" w:type="dxa"/>
            <w:vAlign w:val="center"/>
          </w:tcPr>
          <w:p w14:paraId="0E4866AF">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安徽省阜阳市水利规划设计院有限公司</w:t>
            </w:r>
          </w:p>
        </w:tc>
        <w:tc>
          <w:tcPr>
            <w:tcW w:w="2586" w:type="dxa"/>
            <w:vAlign w:val="center"/>
          </w:tcPr>
          <w:p w14:paraId="32739919">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安徽省阜阳市茨河铺分洪闸安全鉴定</w:t>
            </w:r>
          </w:p>
        </w:tc>
        <w:tc>
          <w:tcPr>
            <w:tcW w:w="1241" w:type="dxa"/>
            <w:vAlign w:val="center"/>
          </w:tcPr>
          <w:p w14:paraId="55BA191B">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35.5</w:t>
            </w:r>
          </w:p>
        </w:tc>
      </w:tr>
      <w:tr w14:paraId="0F49A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761" w:type="dxa"/>
            <w:vAlign w:val="center"/>
          </w:tcPr>
          <w:p w14:paraId="66333553">
            <w:pPr>
              <w:spacing w:line="320" w:lineRule="exact"/>
              <w:jc w:val="center"/>
              <w:rPr>
                <w:rFonts w:hint="default" w:ascii="Times New Roman" w:hAnsi="Times New Roman" w:eastAsia="黑体" w:cs="Times New Roman"/>
                <w:sz w:val="24"/>
                <w:lang w:val="en-US" w:eastAsia="zh-CN"/>
              </w:rPr>
            </w:pPr>
            <w:r>
              <w:rPr>
                <w:rFonts w:hint="eastAsia" w:ascii="Times New Roman" w:hAnsi="Times New Roman" w:eastAsia="黑体" w:cs="Times New Roman"/>
                <w:sz w:val="24"/>
                <w:lang w:val="en-US" w:eastAsia="zh-CN"/>
              </w:rPr>
              <w:t>16</w:t>
            </w:r>
          </w:p>
        </w:tc>
        <w:tc>
          <w:tcPr>
            <w:tcW w:w="1792" w:type="dxa"/>
            <w:vAlign w:val="center"/>
          </w:tcPr>
          <w:p w14:paraId="05D3C8BE">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安徽工程大学</w:t>
            </w:r>
          </w:p>
        </w:tc>
        <w:tc>
          <w:tcPr>
            <w:tcW w:w="2431" w:type="dxa"/>
            <w:vAlign w:val="center"/>
          </w:tcPr>
          <w:p w14:paraId="0C8C0D0D">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芜湖顺春智能科技有限公司</w:t>
            </w:r>
          </w:p>
        </w:tc>
        <w:tc>
          <w:tcPr>
            <w:tcW w:w="2586" w:type="dxa"/>
            <w:vAlign w:val="center"/>
          </w:tcPr>
          <w:p w14:paraId="613C30B6">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智慧MES云平台</w:t>
            </w:r>
          </w:p>
        </w:tc>
        <w:tc>
          <w:tcPr>
            <w:tcW w:w="1241" w:type="dxa"/>
            <w:vAlign w:val="center"/>
          </w:tcPr>
          <w:p w14:paraId="0CE928BC">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42</w:t>
            </w:r>
          </w:p>
        </w:tc>
      </w:tr>
      <w:tr w14:paraId="63C0A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3" w:hRule="atLeast"/>
          <w:jc w:val="center"/>
        </w:trPr>
        <w:tc>
          <w:tcPr>
            <w:tcW w:w="761" w:type="dxa"/>
            <w:vAlign w:val="center"/>
          </w:tcPr>
          <w:p w14:paraId="0DDDC3A7">
            <w:pPr>
              <w:spacing w:line="320" w:lineRule="exact"/>
              <w:jc w:val="center"/>
              <w:rPr>
                <w:rFonts w:hint="default" w:ascii="Times New Roman" w:hAnsi="Times New Roman" w:eastAsia="黑体" w:cs="Times New Roman"/>
                <w:sz w:val="24"/>
                <w:lang w:val="en-US" w:eastAsia="zh-CN"/>
              </w:rPr>
            </w:pPr>
            <w:r>
              <w:rPr>
                <w:rFonts w:hint="eastAsia" w:ascii="Times New Roman" w:hAnsi="Times New Roman" w:eastAsia="黑体" w:cs="Times New Roman"/>
                <w:sz w:val="24"/>
                <w:lang w:val="en-US" w:eastAsia="zh-CN"/>
              </w:rPr>
              <w:t>17</w:t>
            </w:r>
          </w:p>
        </w:tc>
        <w:tc>
          <w:tcPr>
            <w:tcW w:w="1792" w:type="dxa"/>
            <w:vAlign w:val="center"/>
          </w:tcPr>
          <w:p w14:paraId="03C50173">
            <w:pPr>
              <w:spacing w:line="320" w:lineRule="exact"/>
              <w:jc w:val="center"/>
              <w:rPr>
                <w:rFonts w:ascii="Times New Roman" w:hAnsi="Times New Roman" w:eastAsia="宋体" w:cs="Times New Roman"/>
                <w:sz w:val="24"/>
              </w:rPr>
            </w:pPr>
            <w:r>
              <w:rPr>
                <w:rFonts w:hint="default" w:ascii="Times New Roman" w:hAnsi="Times New Roman" w:eastAsia="宋体" w:cs="Times New Roman"/>
                <w:sz w:val="24"/>
              </w:rPr>
              <w:t>安徽省农业科学院植物保护与农产品质量安全研究所</w:t>
            </w:r>
          </w:p>
        </w:tc>
        <w:tc>
          <w:tcPr>
            <w:tcW w:w="2431" w:type="dxa"/>
            <w:vAlign w:val="center"/>
          </w:tcPr>
          <w:p w14:paraId="2CF00751">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袁隆平农业高科技股份有限公司</w:t>
            </w:r>
          </w:p>
        </w:tc>
        <w:tc>
          <w:tcPr>
            <w:tcW w:w="2586" w:type="dxa"/>
            <w:vAlign w:val="center"/>
          </w:tcPr>
          <w:p w14:paraId="35608610">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转基因抗虫耐除草剂玉米品种性状功效评价研究</w:t>
            </w:r>
          </w:p>
        </w:tc>
        <w:tc>
          <w:tcPr>
            <w:tcW w:w="1241" w:type="dxa"/>
            <w:vAlign w:val="center"/>
          </w:tcPr>
          <w:p w14:paraId="318CA844">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60</w:t>
            </w:r>
          </w:p>
        </w:tc>
      </w:tr>
      <w:tr w14:paraId="7AB7A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01D30EC8">
            <w:pPr>
              <w:spacing w:line="320" w:lineRule="exact"/>
              <w:jc w:val="center"/>
              <w:rPr>
                <w:rFonts w:hint="default" w:ascii="Times New Roman" w:hAnsi="Times New Roman" w:eastAsia="黑体" w:cs="Times New Roman"/>
                <w:color w:val="auto"/>
                <w:sz w:val="24"/>
                <w:lang w:val="en-US" w:eastAsia="zh-CN"/>
              </w:rPr>
            </w:pPr>
            <w:r>
              <w:rPr>
                <w:rFonts w:hint="eastAsia" w:ascii="Times New Roman" w:hAnsi="Times New Roman" w:eastAsia="黑体" w:cs="Times New Roman"/>
                <w:color w:val="auto"/>
                <w:sz w:val="24"/>
                <w:lang w:val="en-US" w:eastAsia="zh-CN"/>
              </w:rPr>
              <w:t>18</w:t>
            </w:r>
          </w:p>
        </w:tc>
        <w:tc>
          <w:tcPr>
            <w:tcW w:w="1792" w:type="dxa"/>
            <w:vAlign w:val="center"/>
          </w:tcPr>
          <w:p w14:paraId="243B9D41">
            <w:pPr>
              <w:spacing w:line="320" w:lineRule="exact"/>
              <w:jc w:val="center"/>
              <w:rPr>
                <w:rFonts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安徽省煤炭科学研究院</w:t>
            </w:r>
          </w:p>
        </w:tc>
        <w:tc>
          <w:tcPr>
            <w:tcW w:w="2431" w:type="dxa"/>
            <w:vAlign w:val="center"/>
          </w:tcPr>
          <w:p w14:paraId="5830B326">
            <w:pPr>
              <w:spacing w:line="320" w:lineRule="exact"/>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淮北徐楼矿业有限公司</w:t>
            </w:r>
          </w:p>
        </w:tc>
        <w:tc>
          <w:tcPr>
            <w:tcW w:w="2586" w:type="dxa"/>
            <w:vAlign w:val="center"/>
          </w:tcPr>
          <w:p w14:paraId="3191142A">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淮北徐楼矿业有限公司非煤矿山重大灾害重点防控建设AI智能视频监控系统研究开发</w:t>
            </w:r>
          </w:p>
        </w:tc>
        <w:tc>
          <w:tcPr>
            <w:tcW w:w="1241" w:type="dxa"/>
            <w:vAlign w:val="center"/>
          </w:tcPr>
          <w:p w14:paraId="20C329ED">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55.80</w:t>
            </w:r>
          </w:p>
        </w:tc>
      </w:tr>
      <w:tr w14:paraId="1826F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337811AB">
            <w:pPr>
              <w:spacing w:line="320" w:lineRule="exact"/>
              <w:jc w:val="center"/>
              <w:rPr>
                <w:rFonts w:hint="default" w:ascii="Times New Roman" w:hAnsi="Times New Roman" w:eastAsia="黑体" w:cs="Times New Roman"/>
                <w:sz w:val="24"/>
                <w:lang w:val="en-US" w:eastAsia="zh-CN"/>
              </w:rPr>
            </w:pPr>
            <w:r>
              <w:rPr>
                <w:rFonts w:hint="eastAsia" w:ascii="Times New Roman" w:hAnsi="Times New Roman" w:eastAsia="黑体" w:cs="Times New Roman"/>
                <w:sz w:val="24"/>
                <w:lang w:val="en-US" w:eastAsia="zh-CN"/>
              </w:rPr>
              <w:t>19</w:t>
            </w:r>
          </w:p>
        </w:tc>
        <w:tc>
          <w:tcPr>
            <w:tcW w:w="1792" w:type="dxa"/>
            <w:vAlign w:val="center"/>
          </w:tcPr>
          <w:p w14:paraId="4AE4A218">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安徽大学绿色产业创新研究院</w:t>
            </w:r>
          </w:p>
        </w:tc>
        <w:tc>
          <w:tcPr>
            <w:tcW w:w="2431" w:type="dxa"/>
            <w:vAlign w:val="center"/>
          </w:tcPr>
          <w:p w14:paraId="7B6ED03D">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阳光新能源开发股份有限公司</w:t>
            </w:r>
          </w:p>
        </w:tc>
        <w:tc>
          <w:tcPr>
            <w:tcW w:w="2586" w:type="dxa"/>
            <w:vAlign w:val="center"/>
          </w:tcPr>
          <w:p w14:paraId="17D434CB">
            <w:pPr>
              <w:spacing w:line="320" w:lineRule="exact"/>
              <w:jc w:val="center"/>
              <w:rPr>
                <w:rFonts w:ascii="Times New Roman" w:hAnsi="Times New Roman" w:eastAsia="宋体" w:cs="Times New Roman"/>
                <w:sz w:val="24"/>
              </w:rPr>
            </w:pPr>
            <w:r>
              <w:rPr>
                <w:rFonts w:hint="eastAsia" w:ascii="Times New Roman" w:hAnsi="Times New Roman" w:eastAsia="宋体" w:cs="Times New Roman"/>
                <w:sz w:val="24"/>
              </w:rPr>
              <w:t>多时空储能合理配置容量模型、多能互补电站容量寻优与调度方案研究</w:t>
            </w:r>
          </w:p>
        </w:tc>
        <w:tc>
          <w:tcPr>
            <w:tcW w:w="1241" w:type="dxa"/>
            <w:vAlign w:val="center"/>
          </w:tcPr>
          <w:p w14:paraId="15C76881">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36</w:t>
            </w:r>
          </w:p>
        </w:tc>
      </w:tr>
      <w:tr w14:paraId="3DD9C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709479EE">
            <w:pPr>
              <w:spacing w:line="320" w:lineRule="exact"/>
              <w:jc w:val="center"/>
              <w:rPr>
                <w:rFonts w:hint="default" w:ascii="Times New Roman" w:hAnsi="Times New Roman" w:eastAsia="黑体" w:cs="Times New Roman"/>
                <w:sz w:val="24"/>
                <w:lang w:val="en-US" w:eastAsia="zh-CN"/>
              </w:rPr>
            </w:pPr>
            <w:r>
              <w:rPr>
                <w:rFonts w:hint="eastAsia" w:ascii="Times New Roman" w:hAnsi="Times New Roman" w:eastAsia="黑体" w:cs="Times New Roman"/>
                <w:sz w:val="24"/>
                <w:lang w:val="en-US" w:eastAsia="zh-CN"/>
              </w:rPr>
              <w:t>20</w:t>
            </w:r>
          </w:p>
        </w:tc>
        <w:tc>
          <w:tcPr>
            <w:tcW w:w="1792" w:type="dxa"/>
            <w:vAlign w:val="center"/>
          </w:tcPr>
          <w:p w14:paraId="6CD14E56">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安徽公安职业学院</w:t>
            </w:r>
          </w:p>
        </w:tc>
        <w:tc>
          <w:tcPr>
            <w:tcW w:w="2431" w:type="dxa"/>
            <w:vAlign w:val="center"/>
          </w:tcPr>
          <w:p w14:paraId="3F06EA2B">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陕西昌盛普泽农业有限公司</w:t>
            </w:r>
          </w:p>
        </w:tc>
        <w:tc>
          <w:tcPr>
            <w:tcW w:w="2586" w:type="dxa"/>
            <w:vAlign w:val="center"/>
          </w:tcPr>
          <w:p w14:paraId="39EF4EB5">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基于情报分析技术的乡村旅游突发事件网络舆情传播过程研究——传播过程各阶段控制模型的构建</w:t>
            </w:r>
          </w:p>
        </w:tc>
        <w:tc>
          <w:tcPr>
            <w:tcW w:w="1241" w:type="dxa"/>
            <w:vAlign w:val="center"/>
          </w:tcPr>
          <w:p w14:paraId="54F6CF86">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42</w:t>
            </w:r>
          </w:p>
        </w:tc>
      </w:tr>
      <w:tr w14:paraId="3C60E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37A71ECC">
            <w:pPr>
              <w:spacing w:line="320" w:lineRule="exact"/>
              <w:jc w:val="center"/>
              <w:rPr>
                <w:rFonts w:hint="default" w:ascii="Times New Roman" w:hAnsi="Times New Roman" w:eastAsia="黑体" w:cs="Times New Roman"/>
                <w:sz w:val="24"/>
                <w:lang w:val="en-US" w:eastAsia="zh-CN"/>
              </w:rPr>
            </w:pPr>
            <w:r>
              <w:rPr>
                <w:rFonts w:hint="eastAsia" w:ascii="Times New Roman" w:hAnsi="Times New Roman" w:eastAsia="黑体" w:cs="Times New Roman"/>
                <w:sz w:val="24"/>
                <w:lang w:val="en-US" w:eastAsia="zh-CN"/>
              </w:rPr>
              <w:t>21</w:t>
            </w:r>
          </w:p>
        </w:tc>
        <w:tc>
          <w:tcPr>
            <w:tcW w:w="1792" w:type="dxa"/>
            <w:vAlign w:val="center"/>
          </w:tcPr>
          <w:p w14:paraId="5761E2B6">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安徽公安职业学院</w:t>
            </w:r>
          </w:p>
        </w:tc>
        <w:tc>
          <w:tcPr>
            <w:tcW w:w="2431" w:type="dxa"/>
            <w:vAlign w:val="center"/>
          </w:tcPr>
          <w:p w14:paraId="432E5A8C">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陕西昌盛普泽农业有限公司</w:t>
            </w:r>
          </w:p>
        </w:tc>
        <w:tc>
          <w:tcPr>
            <w:tcW w:w="2586" w:type="dxa"/>
            <w:vAlign w:val="center"/>
          </w:tcPr>
          <w:p w14:paraId="010FBDA6">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基于数学建模方法的农产品质量安全突发事件网络舆情传播态势预测——单步与多步预测模型的构建</w:t>
            </w:r>
          </w:p>
        </w:tc>
        <w:tc>
          <w:tcPr>
            <w:tcW w:w="1241" w:type="dxa"/>
            <w:vAlign w:val="center"/>
          </w:tcPr>
          <w:p w14:paraId="680F61BD">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41</w:t>
            </w:r>
          </w:p>
        </w:tc>
      </w:tr>
      <w:tr w14:paraId="014D3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09399FAB">
            <w:pPr>
              <w:spacing w:line="320" w:lineRule="exact"/>
              <w:jc w:val="center"/>
              <w:rPr>
                <w:rFonts w:hint="default" w:ascii="Times New Roman" w:hAnsi="Times New Roman" w:eastAsia="黑体" w:cs="Times New Roman"/>
                <w:sz w:val="24"/>
                <w:lang w:val="en-US" w:eastAsia="zh-CN"/>
              </w:rPr>
            </w:pPr>
            <w:r>
              <w:rPr>
                <w:rFonts w:hint="eastAsia" w:ascii="Times New Roman" w:hAnsi="Times New Roman" w:eastAsia="黑体" w:cs="Times New Roman"/>
                <w:sz w:val="24"/>
                <w:lang w:val="en-US" w:eastAsia="zh-CN"/>
              </w:rPr>
              <w:t>22</w:t>
            </w:r>
          </w:p>
        </w:tc>
        <w:tc>
          <w:tcPr>
            <w:tcW w:w="1792" w:type="dxa"/>
            <w:vAlign w:val="center"/>
          </w:tcPr>
          <w:p w14:paraId="03B7546E">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中国科学技术大学先进技术研究院</w:t>
            </w:r>
          </w:p>
        </w:tc>
        <w:tc>
          <w:tcPr>
            <w:tcW w:w="2431" w:type="dxa"/>
            <w:vAlign w:val="center"/>
          </w:tcPr>
          <w:p w14:paraId="656A49F3">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东华工程科技股份有限公司</w:t>
            </w:r>
          </w:p>
        </w:tc>
        <w:tc>
          <w:tcPr>
            <w:tcW w:w="2586" w:type="dxa"/>
            <w:vAlign w:val="center"/>
          </w:tcPr>
          <w:p w14:paraId="01BBD448">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高性能聚酰亚胺单体设计、合成及应用技术开发项目</w:t>
            </w:r>
          </w:p>
        </w:tc>
        <w:tc>
          <w:tcPr>
            <w:tcW w:w="1241" w:type="dxa"/>
            <w:vAlign w:val="center"/>
          </w:tcPr>
          <w:p w14:paraId="59C8F2DB">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90</w:t>
            </w:r>
          </w:p>
        </w:tc>
      </w:tr>
      <w:tr w14:paraId="67850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51B8265E">
            <w:pPr>
              <w:spacing w:line="320" w:lineRule="exact"/>
              <w:jc w:val="center"/>
              <w:rPr>
                <w:rFonts w:hint="default" w:ascii="Times New Roman" w:hAnsi="Times New Roman" w:eastAsia="黑体" w:cs="Times New Roman"/>
                <w:sz w:val="24"/>
                <w:lang w:val="en-US" w:eastAsia="zh-CN"/>
              </w:rPr>
            </w:pPr>
            <w:r>
              <w:rPr>
                <w:rFonts w:hint="eastAsia" w:ascii="Times New Roman" w:hAnsi="Times New Roman" w:eastAsia="黑体" w:cs="Times New Roman"/>
                <w:sz w:val="24"/>
                <w:lang w:val="en-US" w:eastAsia="zh-CN"/>
              </w:rPr>
              <w:t>23</w:t>
            </w:r>
          </w:p>
        </w:tc>
        <w:tc>
          <w:tcPr>
            <w:tcW w:w="1792" w:type="dxa"/>
            <w:vAlign w:val="center"/>
          </w:tcPr>
          <w:p w14:paraId="388892EE">
            <w:pPr>
              <w:spacing w:line="320" w:lineRule="exact"/>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sz w:val="24"/>
                <w:lang w:eastAsia="zh-CN"/>
              </w:rPr>
              <w:t>安徽大学</w:t>
            </w:r>
          </w:p>
        </w:tc>
        <w:tc>
          <w:tcPr>
            <w:tcW w:w="2431" w:type="dxa"/>
            <w:vAlign w:val="center"/>
          </w:tcPr>
          <w:p w14:paraId="76B9A055">
            <w:pPr>
              <w:spacing w:line="320" w:lineRule="exact"/>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sz w:val="24"/>
                <w:lang w:val="en-US" w:eastAsia="zh-CN"/>
              </w:rPr>
              <w:t>PTC International Limited</w:t>
            </w:r>
          </w:p>
        </w:tc>
        <w:tc>
          <w:tcPr>
            <w:tcW w:w="2586" w:type="dxa"/>
            <w:vAlign w:val="center"/>
          </w:tcPr>
          <w:p w14:paraId="71FCEA24">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香港环境保护署关于中国东南海域(浙江至香港)空气污染研究项目</w:t>
            </w:r>
          </w:p>
        </w:tc>
        <w:tc>
          <w:tcPr>
            <w:tcW w:w="1241" w:type="dxa"/>
            <w:vAlign w:val="center"/>
          </w:tcPr>
          <w:p w14:paraId="049C2BA4">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380</w:t>
            </w:r>
          </w:p>
        </w:tc>
      </w:tr>
      <w:tr w14:paraId="2B709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68AC2414">
            <w:pPr>
              <w:spacing w:line="320" w:lineRule="exact"/>
              <w:jc w:val="center"/>
              <w:rPr>
                <w:rFonts w:hint="default" w:ascii="Times New Roman" w:hAnsi="Times New Roman" w:eastAsia="黑体" w:cs="Times New Roman"/>
                <w:sz w:val="24"/>
                <w:lang w:val="en-US" w:eastAsia="zh-CN"/>
              </w:rPr>
            </w:pPr>
            <w:r>
              <w:rPr>
                <w:rFonts w:hint="eastAsia" w:ascii="Times New Roman" w:hAnsi="Times New Roman" w:eastAsia="黑体" w:cs="Times New Roman"/>
                <w:sz w:val="24"/>
                <w:lang w:val="en-US" w:eastAsia="zh-CN"/>
              </w:rPr>
              <w:t>24</w:t>
            </w:r>
          </w:p>
        </w:tc>
        <w:tc>
          <w:tcPr>
            <w:tcW w:w="1792" w:type="dxa"/>
            <w:vAlign w:val="center"/>
          </w:tcPr>
          <w:p w14:paraId="5643D492">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安徽医科大学</w:t>
            </w:r>
          </w:p>
        </w:tc>
        <w:tc>
          <w:tcPr>
            <w:tcW w:w="2431" w:type="dxa"/>
            <w:vAlign w:val="center"/>
          </w:tcPr>
          <w:p w14:paraId="7ED39C8D">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中国初级卫生保健基金会</w:t>
            </w:r>
          </w:p>
        </w:tc>
        <w:tc>
          <w:tcPr>
            <w:tcW w:w="2586" w:type="dxa"/>
            <w:vAlign w:val="center"/>
          </w:tcPr>
          <w:p w14:paraId="2AD031F3">
            <w:pPr>
              <w:spacing w:line="320" w:lineRule="exact"/>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围术期应用碳酸氢钠林格注射液对肝移植患者术后急性肾损伤的影响</w:t>
            </w:r>
          </w:p>
        </w:tc>
        <w:tc>
          <w:tcPr>
            <w:tcW w:w="1241" w:type="dxa"/>
            <w:vAlign w:val="center"/>
          </w:tcPr>
          <w:p w14:paraId="5E026D61">
            <w:pPr>
              <w:spacing w:line="320" w:lineRule="exact"/>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30</w:t>
            </w:r>
          </w:p>
        </w:tc>
      </w:tr>
    </w:tbl>
    <w:p w14:paraId="5568A10A">
      <w:pPr>
        <w:rPr>
          <w:rFonts w:ascii="Times New Roman" w:hAnsi="Times New Roman" w:eastAsia="宋体" w:cs="Times New Roman"/>
          <w:sz w:val="24"/>
        </w:rPr>
      </w:pPr>
    </w:p>
    <w:p w14:paraId="1DC80A55">
      <w:bookmarkStart w:id="0" w:name="_GoBack"/>
      <w:bookmarkEnd w:id="0"/>
    </w:p>
    <w:sectPr>
      <w:footerReference r:id="rId3" w:type="default"/>
      <w:footerReference r:id="rId4" w:type="even"/>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Calibri" w:hAnsi="Calibri" w:eastAsia="宋体" w:cs="Times New Roman"/>
        <w:kern w:val="2"/>
        <w:sz w:val="21"/>
        <w:szCs w:val="24"/>
        <w:lang w:val="en-US" w:eastAsia="zh-CN" w:bidi="ar-SA"/>
      </w:rPr>
      <w:id w:val="146784267"/>
      <w:docPartObj>
        <w:docPartGallery w:val="autotext"/>
      </w:docPartObj>
    </w:sdtPr>
    <w:sdtEndPr>
      <w:rPr>
        <w:rFonts w:ascii="宋体" w:hAnsi="宋体" w:eastAsia="宋体" w:cs="Times New Roman"/>
        <w:kern w:val="2"/>
        <w:sz w:val="28"/>
        <w:szCs w:val="28"/>
        <w:lang w:val="en-US" w:eastAsia="zh-CN" w:bidi="ar-SA"/>
      </w:rPr>
    </w:sdtEndPr>
    <w:sdtContent>
      <w:p w14:paraId="53469C62">
        <w:pPr>
          <w:widowControl w:val="0"/>
          <w:tabs>
            <w:tab w:val="center" w:pos="4153"/>
            <w:tab w:val="right" w:pos="8306"/>
          </w:tabs>
          <w:snapToGrid w:val="0"/>
          <w:jc w:val="left"/>
          <w:rPr>
            <w:rFonts w:ascii="宋体" w:hAnsi="宋体" w:eastAsia="宋体" w:cs="Times New Roman"/>
            <w:kern w:val="2"/>
            <w:sz w:val="28"/>
            <w:szCs w:val="28"/>
            <w:lang w:val="en-US" w:eastAsia="zh-CN" w:bidi="ar-SA"/>
          </w:rPr>
        </w:pPr>
        <w:r>
          <w:rPr>
            <w:rFonts w:ascii="宋体" w:hAnsi="宋体" w:eastAsia="宋体" w:cs="Times New Roman"/>
            <w:kern w:val="2"/>
            <w:sz w:val="28"/>
            <w:szCs w:val="28"/>
            <w:lang w:val="en-US" w:eastAsia="zh-CN" w:bidi="ar-SA"/>
          </w:rPr>
          <w:t>—</w:t>
        </w:r>
        <w:r>
          <w:rPr>
            <w:rFonts w:ascii="宋体" w:hAnsi="宋体" w:eastAsia="宋体" w:cs="Times New Roman"/>
            <w:kern w:val="2"/>
            <w:sz w:val="28"/>
            <w:szCs w:val="28"/>
            <w:lang w:val="en-US" w:eastAsia="zh-CN" w:bidi="ar-SA"/>
          </w:rPr>
          <w:fldChar w:fldCharType="begin"/>
        </w:r>
        <w:r>
          <w:rPr>
            <w:rFonts w:ascii="宋体" w:hAnsi="宋体" w:eastAsia="宋体" w:cs="Times New Roman"/>
            <w:kern w:val="2"/>
            <w:sz w:val="28"/>
            <w:szCs w:val="28"/>
            <w:lang w:val="en-US" w:eastAsia="zh-CN" w:bidi="ar-SA"/>
          </w:rPr>
          <w:instrText xml:space="preserve">PAGE   \* MERGEFORMAT</w:instrText>
        </w:r>
        <w:r>
          <w:rPr>
            <w:rFonts w:ascii="宋体" w:hAnsi="宋体" w:eastAsia="宋体" w:cs="Times New Roman"/>
            <w:kern w:val="2"/>
            <w:sz w:val="28"/>
            <w:szCs w:val="28"/>
            <w:lang w:val="en-US" w:eastAsia="zh-CN" w:bidi="ar-SA"/>
          </w:rPr>
          <w:fldChar w:fldCharType="separate"/>
        </w:r>
        <w:r>
          <w:rPr>
            <w:rFonts w:ascii="宋体" w:hAnsi="宋体" w:eastAsia="宋体" w:cs="Times New Roman"/>
            <w:kern w:val="2"/>
            <w:sz w:val="28"/>
            <w:szCs w:val="28"/>
            <w:lang w:val="zh-CN" w:eastAsia="zh-CN" w:bidi="ar-SA"/>
          </w:rPr>
          <w:t>3</w:t>
        </w:r>
        <w:r>
          <w:rPr>
            <w:rFonts w:ascii="宋体" w:hAnsi="宋体" w:eastAsia="宋体" w:cs="Times New Roman"/>
            <w:kern w:val="2"/>
            <w:sz w:val="28"/>
            <w:szCs w:val="28"/>
            <w:lang w:val="en-US" w:eastAsia="zh-CN" w:bidi="ar-SA"/>
          </w:rPr>
          <w:fldChar w:fldCharType="end"/>
        </w:r>
        <w:r>
          <w:rPr>
            <w:rFonts w:ascii="宋体" w:hAnsi="宋体" w:eastAsia="宋体" w:cs="Times New Roman"/>
            <w:kern w:val="2"/>
            <w:sz w:val="28"/>
            <w:szCs w:val="28"/>
            <w:lang w:val="en-US" w:eastAsia="zh-CN" w:bidi="ar-SA"/>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Calibri" w:hAnsi="Calibri" w:eastAsia="宋体" w:cs="Times New Roman"/>
        <w:kern w:val="2"/>
        <w:sz w:val="21"/>
        <w:szCs w:val="24"/>
        <w:lang w:val="en-US" w:eastAsia="zh-CN" w:bidi="ar-SA"/>
      </w:rPr>
      <w:id w:val="91293380"/>
      <w:docPartObj>
        <w:docPartGallery w:val="autotext"/>
      </w:docPartObj>
    </w:sdtPr>
    <w:sdtEndPr>
      <w:rPr>
        <w:rFonts w:ascii="宋体" w:hAnsi="宋体" w:eastAsia="宋体" w:cs="Times New Roman"/>
        <w:kern w:val="2"/>
        <w:sz w:val="28"/>
        <w:szCs w:val="28"/>
        <w:lang w:val="en-US" w:eastAsia="zh-CN" w:bidi="ar-SA"/>
      </w:rPr>
    </w:sdtEndPr>
    <w:sdtContent>
      <w:p w14:paraId="028D2940">
        <w:pPr>
          <w:widowControl w:val="0"/>
          <w:tabs>
            <w:tab w:val="center" w:pos="4153"/>
            <w:tab w:val="right" w:pos="8306"/>
          </w:tabs>
          <w:snapToGrid w:val="0"/>
          <w:jc w:val="right"/>
          <w:rPr>
            <w:rFonts w:ascii="宋体" w:hAnsi="宋体" w:eastAsia="宋体" w:cs="Times New Roman"/>
            <w:kern w:val="2"/>
            <w:sz w:val="28"/>
            <w:szCs w:val="28"/>
            <w:lang w:val="en-US" w:eastAsia="zh-CN" w:bidi="ar-SA"/>
          </w:rPr>
        </w:pPr>
        <w:r>
          <w:rPr>
            <w:rFonts w:ascii="宋体" w:hAnsi="宋体" w:eastAsia="宋体" w:cs="Times New Roman"/>
            <w:kern w:val="2"/>
            <w:sz w:val="28"/>
            <w:szCs w:val="28"/>
            <w:lang w:val="en-US" w:eastAsia="zh-CN" w:bidi="ar-SA"/>
          </w:rPr>
          <w:t>—</w:t>
        </w:r>
        <w:r>
          <w:rPr>
            <w:rFonts w:ascii="宋体" w:hAnsi="宋体" w:eastAsia="宋体" w:cs="Times New Roman"/>
            <w:kern w:val="2"/>
            <w:sz w:val="28"/>
            <w:szCs w:val="28"/>
            <w:lang w:val="en-US" w:eastAsia="zh-CN" w:bidi="ar-SA"/>
          </w:rPr>
          <w:fldChar w:fldCharType="begin"/>
        </w:r>
        <w:r>
          <w:rPr>
            <w:rFonts w:ascii="宋体" w:hAnsi="宋体" w:eastAsia="宋体" w:cs="Times New Roman"/>
            <w:kern w:val="2"/>
            <w:sz w:val="28"/>
            <w:szCs w:val="28"/>
            <w:lang w:val="en-US" w:eastAsia="zh-CN" w:bidi="ar-SA"/>
          </w:rPr>
          <w:instrText xml:space="preserve">PAGE   \* MERGEFORMAT</w:instrText>
        </w:r>
        <w:r>
          <w:rPr>
            <w:rFonts w:ascii="宋体" w:hAnsi="宋体" w:eastAsia="宋体" w:cs="Times New Roman"/>
            <w:kern w:val="2"/>
            <w:sz w:val="28"/>
            <w:szCs w:val="28"/>
            <w:lang w:val="en-US" w:eastAsia="zh-CN" w:bidi="ar-SA"/>
          </w:rPr>
          <w:fldChar w:fldCharType="separate"/>
        </w:r>
        <w:r>
          <w:rPr>
            <w:rFonts w:ascii="宋体" w:hAnsi="宋体" w:eastAsia="宋体" w:cs="Times New Roman"/>
            <w:kern w:val="2"/>
            <w:sz w:val="28"/>
            <w:szCs w:val="28"/>
            <w:lang w:val="zh-CN" w:eastAsia="zh-CN" w:bidi="ar-SA"/>
          </w:rPr>
          <w:t>4</w:t>
        </w:r>
        <w:r>
          <w:rPr>
            <w:rFonts w:ascii="宋体" w:hAnsi="宋体" w:eastAsia="宋体" w:cs="Times New Roman"/>
            <w:kern w:val="2"/>
            <w:sz w:val="28"/>
            <w:szCs w:val="28"/>
            <w:lang w:val="en-US" w:eastAsia="zh-CN" w:bidi="ar-SA"/>
          </w:rPr>
          <w:fldChar w:fldCharType="end"/>
        </w:r>
        <w:r>
          <w:rPr>
            <w:rFonts w:ascii="宋体" w:hAnsi="宋体" w:eastAsia="宋体" w:cs="Times New Roman"/>
            <w:kern w:val="2"/>
            <w:sz w:val="28"/>
            <w:szCs w:val="28"/>
            <w:lang w:val="en-US" w:eastAsia="zh-CN" w:bidi="ar-SA"/>
          </w:rPr>
          <w:t>—</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1A689B"/>
    <w:rsid w:val="4D1A68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2025-07-07T10:00:00Z</dcterms:created>
  <dc:creator>何小包蛋</dc:creator>
  <cp:lastModifiedBy>何小包蛋</cp:lastModifiedBy>
  <dcterms:modified xsi:type="dcterms:W3CDTF">2025-07-07T10:01:12Z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C5F33E78BEFB4485A5B4720123CAA5E2_11</vt:lpwstr>
  </property>
  <property fmtid="{D5CDD505-2E9C-101B-9397-08002B2CF9AE}" pid="4" name="KSOTemplateDocerSaveRecord">
    <vt:lpwstr>eyJoZGlkIjoiN2Y5YjFhM2YzYjM5OGRhNDhmMTBjZGVlMWMyM2QzYzMiLCJ1c2VySWQiOiIxNTc4NzU0Mjk3In0=</vt:lpwstr>
  </property>
</Properties>
</file>